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  <w:lang w:val="sv-SE"/>
        </w:rPr>
      </w:pPr>
      <w:r>
        <w:rPr>
          <w:rFonts w:cs="Arial" w:ascii="Arial" w:hAnsi="Arial"/>
          <w:b/>
          <w:sz w:val="22"/>
          <w:szCs w:val="22"/>
          <w:lang w:val="sv-SE"/>
        </w:rPr>
        <w:t>3GPP TSG-SA Meeting #109</w:t>
        <w:tab/>
        <w:t>SP- 251244</w:t>
      </w:r>
    </w:p>
    <w:p>
      <w:pPr>
        <w:pStyle w:val="Header"/>
        <w:widowControl w:val="false"/>
        <w:pBdr>
          <w:bottom w:val="single" w:sz="4" w:space="1" w:color="000000"/>
        </w:pBdr>
        <w:tabs>
          <w:tab w:val="clear" w:pos="4153"/>
          <w:tab w:val="clear" w:pos="8306"/>
          <w:tab w:val="right" w:pos="9638" w:leader="none"/>
        </w:tabs>
        <w:overflowPunct w:val="true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cs="Arial"/>
          <w:b/>
          <w:bCs/>
          <w:sz w:val="22"/>
          <w:szCs w:val="22"/>
        </w:rPr>
        <w:t>Beijing, China</w:t>
      </w:r>
      <w:r>
        <w:rPr>
          <w:rFonts w:cs="Arial" w:ascii="Arial" w:hAnsi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15 – 19 September</w:t>
      </w:r>
      <w:r>
        <w:rPr>
          <w:rFonts w:cs="Arial" w:ascii="Arial" w:hAnsi="Arial"/>
          <w:b/>
          <w:bCs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</w:rPr>
        <w:t>2025</w:t>
      </w:r>
      <w:r>
        <w:rPr/>
        <w:tab/>
      </w:r>
    </w:p>
    <w:p>
      <w:pPr>
        <w:pStyle w:val="Normal"/>
        <w:numPr>
          <w:ilvl w:val="0"/>
          <w:numId w:val="0"/>
        </w:numPr>
        <w:pBdr>
          <w:bottom w:val="single" w:sz="4" w:space="1" w:color="000000"/>
        </w:pBdr>
        <w:tabs>
          <w:tab w:val="clear" w:pos="720"/>
          <w:tab w:val="right" w:pos="9639" w:leader="none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  <w:r>
        <w:rPr>
          <w:rFonts w:eastAsia="Batang" w:cs="Arial" w:ascii="Arial" w:hAnsi="Arial"/>
          <w:b/>
          <w:sz w:val="24"/>
          <w:lang w:eastAsia="zh-CN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Source:</w:t>
        <w:tab/>
        <w:t>SA WG3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eastAsia="Batang" w:cs="Arial" w:ascii="Arial" w:hAnsi="Arial"/>
          <w:b/>
          <w:sz w:val="24"/>
          <w:szCs w:val="24"/>
          <w:lang w:eastAsia="zh-CN"/>
        </w:rPr>
        <w:t>Title:</w:t>
        <w:tab/>
        <w:t>New SID on Security Aspects of Satellite Access in 5G Phase 4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Document for:</w:t>
        <w:tab/>
        <w:t>Approval</w:t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>
        <w:rPr>
          <w:rFonts w:eastAsia="Batang"/>
          <w:b/>
          <w:bCs/>
          <w:sz w:val="24"/>
          <w:szCs w:val="24"/>
          <w:lang w:val="en-US" w:eastAsia="zh-CN"/>
        </w:rPr>
        <w:t xml:space="preserve"> 6.3.3</w:t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tabs>
          <w:tab w:val="clear" w:pos="720"/>
          <w:tab w:val="right" w:pos="9639" w:leader="none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cs="Arial" w:ascii="Arial" w:hAnsi="Arial"/>
          <w:b/>
          <w:sz w:val="22"/>
          <w:szCs w:val="22"/>
        </w:rPr>
        <w:t>3GPP TSG-SA3 Meeting #123</w:t>
        <w:tab/>
        <w:t>S3</w:t>
      </w:r>
      <w:r>
        <w:rPr>
          <w:rFonts w:cs="Cambria Math" w:ascii="Cambria Math" w:hAnsi="Cambria Math"/>
          <w:b/>
          <w:sz w:val="22"/>
          <w:szCs w:val="22"/>
        </w:rPr>
        <w:noBreakHyphen/>
      </w:r>
      <w:r>
        <w:rPr>
          <w:rFonts w:cs="Arial" w:ascii="Arial" w:hAnsi="Arial"/>
          <w:b/>
          <w:sz w:val="22"/>
          <w:szCs w:val="22"/>
        </w:rPr>
        <w:t>252965</w:t>
      </w:r>
    </w:p>
    <w:p>
      <w:pPr>
        <w:pStyle w:val="Header"/>
        <w:widowControl w:val="false"/>
        <w:pBdr>
          <w:bottom w:val="single" w:sz="4" w:space="1" w:color="000000"/>
        </w:pBdr>
        <w:tabs>
          <w:tab w:val="clear" w:pos="4153"/>
          <w:tab w:val="clear" w:pos="8306"/>
          <w:tab w:val="right" w:pos="9638" w:leader="none"/>
        </w:tabs>
        <w:overflowPunct w:val="true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cs="Arial" w:ascii="Arial" w:hAnsi="Arial"/>
          <w:b/>
          <w:sz w:val="22"/>
          <w:szCs w:val="22"/>
        </w:rPr>
        <w:t>Goteborg, Sweden, 25 - 29 August 2025</w:t>
      </w:r>
      <w:r>
        <w:rPr/>
        <w:tab/>
      </w:r>
      <w:r>
        <w:rPr>
          <w:rFonts w:eastAsia="Batang" w:cs="Arial" w:ascii="Arial" w:hAnsi="Arial"/>
          <w:b/>
          <w:lang w:eastAsia="zh-CN"/>
        </w:rPr>
        <w:t>(revision of S3-252745)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Source:</w:t>
        <w:tab/>
        <w:t>CATT, China Unicom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eastAsia="Batang" w:cs="Arial" w:ascii="Arial" w:hAnsi="Arial"/>
          <w:b/>
          <w:sz w:val="24"/>
          <w:szCs w:val="24"/>
          <w:lang w:eastAsia="zh-CN"/>
        </w:rPr>
        <w:t>Title:</w:t>
        <w:tab/>
        <w:t>New SID on Security Aspects of Satellite Access in 5G Phase 4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Document for:</w:t>
        <w:tab/>
        <w:t>Approval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27" w:leader="none"/>
        </w:tabs>
        <w:ind w:hanging="2127" w:start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eastAsia="Batang" w:ascii="Arial" w:hAnsi="Arial"/>
          <w:b/>
          <w:sz w:val="24"/>
          <w:szCs w:val="24"/>
          <w:lang w:val="en-US" w:eastAsia="zh-CN"/>
        </w:rPr>
        <w:t>Agenda Item:</w:t>
        <w:tab/>
        <w:t>6.1.10</w:t>
      </w:r>
    </w:p>
    <w:p>
      <w:pPr>
        <w:pStyle w:val="Normal"/>
        <w:rPr>
          <w:rFonts w:eastAsia="Batang"/>
          <w:lang w:val="en-US" w:eastAsia="zh-CN"/>
        </w:rPr>
      </w:pPr>
      <w:r>
        <w:rPr>
          <w:rFonts w:eastAsia="Batang"/>
          <w:lang w:val="en-US" w:eastAsia="zh-CN"/>
        </w:rPr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jc w:val="center"/>
        <w:textAlignment w:val="baseline"/>
        <w:rPr/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3GPP™ Work Item Description</w:t>
      </w:r>
    </w:p>
    <w:p>
      <w:pPr>
        <w:pStyle w:val="Normal"/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2">
        <w:r>
          <w:rPr>
            <w:rStyle w:val="Style3"/>
            <w:rFonts w:cs="Arial"/>
          </w:rPr>
          <w:t>http://www.3gpp.org/Work-Items</w:t>
        </w:r>
      </w:hyperlink>
      <w:r>
        <w:rPr>
          <w:rFonts w:cs="Arial"/>
        </w:rPr>
        <w:t xml:space="preserve"> </w:t>
        <w:br/>
      </w:r>
      <w:r>
        <w:rPr/>
        <w:t xml:space="preserve">See also the </w:t>
      </w:r>
      <w:hyperlink r:id="rId3">
        <w:r>
          <w:rPr>
            <w:rStyle w:val="Style3"/>
          </w:rPr>
          <w:t>3GPP Working Procedures</w:t>
        </w:r>
      </w:hyperlink>
      <w:r>
        <w:rPr/>
        <w:t xml:space="preserve">, article 39 and the TSG Working Methods in </w:t>
      </w:r>
      <w:hyperlink r:id="rId4">
        <w:r>
          <w:rPr>
            <w:rStyle w:val="Style3"/>
          </w:rPr>
          <w:t>3GPP TR 21.900</w:t>
        </w:r>
      </w:hyperlink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textAlignment w:val="baseline"/>
        <w:rPr>
          <w:rFonts w:ascii="Arial" w:hAnsi="Arial" w:eastAsia="等线" w:cs="Times New Roman" w:eastAsiaTheme="minorEastAsia"/>
          <w:color w:val="auto"/>
          <w:sz w:val="36"/>
          <w:szCs w:val="20"/>
          <w:lang w:eastAsia="zh-CN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Title:</w:t>
      </w:r>
      <w:r>
        <w:rPr/>
        <w:t xml:space="preserve"> </w:t>
      </w: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 xml:space="preserve">Study on Security Aspects of Satellite Access in 5G Phase </w:t>
      </w:r>
      <w:r>
        <w:rPr>
          <w:rFonts w:eastAsia="等线" w:cs="Times New Roman" w:ascii="Arial" w:hAnsi="Arial" w:eastAsiaTheme="minorEastAsia"/>
          <w:color w:val="auto"/>
          <w:sz w:val="36"/>
          <w:szCs w:val="20"/>
          <w:lang w:eastAsia="zh-CN"/>
        </w:rPr>
        <w:t>4</w:t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val="fr-FR" w:eastAsia="ja-JP"/>
        </w:rPr>
        <w:t>Acronym: FS_5GSAT_Ph4_SEC</w:t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val="fr-FR"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val="fr-FR" w:eastAsia="ja-JP"/>
        </w:rPr>
        <w:t>Unique identifier:</w:t>
        <w:tab/>
        <w:t>1090022</w:t>
      </w:r>
    </w:p>
    <w:p>
      <w:pPr>
        <w:pStyle w:val="Heading8"/>
        <w:pBdr>
          <w:top w:val="single" w:sz="12" w:space="3" w:color="000000"/>
        </w:pBdr>
        <w:overflowPunct w:val="true"/>
        <w:spacing w:before="240" w:after="180"/>
        <w:ind w:hanging="2835" w:start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eastAsia="Times New Roman" w:cs="Times New Roman" w:ascii="Arial" w:hAnsi="Arial"/>
          <w:color w:val="auto"/>
          <w:sz w:val="36"/>
          <w:szCs w:val="20"/>
          <w:lang w:eastAsia="ja-JP"/>
        </w:rPr>
        <w:t>Potential target Release:</w:t>
        <w:tab/>
        <w:t>Rel-20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1</w:t>
        <w:tab/>
        <w:t>Impacts</w:t>
      </w:r>
    </w:p>
    <w:tbl>
      <w:tblPr>
        <w:tblW w:w="7281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515"/>
        <w:gridCol w:w="1275"/>
        <w:gridCol w:w="1037"/>
        <w:gridCol w:w="850"/>
        <w:gridCol w:w="851"/>
        <w:gridCol w:w="1752"/>
      </w:tblGrid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12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ME</w:t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AN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12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Others (specify)</w:t>
            </w:r>
          </w:p>
        </w:tc>
      </w:tr>
      <w:tr>
        <w:trPr>
          <w:cantSplit w:val="true"/>
        </w:trPr>
        <w:tc>
          <w:tcPr>
            <w:tcW w:w="1515" w:type="dxa"/>
            <w:tcBorders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03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85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151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12" w:space="0" w:color="000000"/>
            </w:tcBorders>
          </w:tcPr>
          <w:p>
            <w:pPr>
              <w:pStyle w:val="TAH"/>
              <w:rPr/>
            </w:pPr>
            <w:r>
              <w:rPr/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85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85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17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2</w:t>
        <w:tab/>
        <w:t>Classification of the Work Item and linked work items</w:t>
      </w:r>
    </w:p>
    <w:p>
      <w:pPr>
        <w:pStyle w:val="Heading2"/>
        <w:keepLines/>
        <w:overflowPunct w:val="true"/>
        <w:spacing w:before="180" w:after="180"/>
        <w:ind w:hanging="1134" w:start="1134" w:end="0"/>
        <w:textAlignment w:val="baseline"/>
        <w:rPr>
          <w:b w:val="false"/>
          <w:sz w:val="32"/>
          <w:lang w:eastAsia="ja-JP"/>
        </w:rPr>
      </w:pPr>
      <w:r>
        <w:rPr>
          <w:b w:val="false"/>
          <w:sz w:val="32"/>
          <w:lang w:eastAsia="ja-JP"/>
        </w:rPr>
        <w:t>2.1</w:t>
        <w:tab/>
        <w:t>Primary classification</w:t>
      </w:r>
    </w:p>
    <w:p>
      <w:pPr>
        <w:pStyle w:val="Heading3"/>
        <w:rPr/>
      </w:pPr>
      <w:r>
        <w:rPr/>
        <w:t>This work item is a …</w:t>
      </w:r>
    </w:p>
    <w:tbl>
      <w:tblPr>
        <w:tblW w:w="336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452"/>
        <w:gridCol w:w="2916"/>
      </w:tblGrid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0000FF"/>
              </w:rPr>
            </w:pPr>
            <w:r>
              <w:rPr>
                <w:b w:val="false"/>
                <w:bCs/>
                <w:color w:val="0000FF"/>
                <w:sz w:val="20"/>
              </w:rPr>
              <w:t>Study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1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2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Stage 3</w:t>
            </w:r>
          </w:p>
        </w:tc>
      </w:tr>
      <w:tr>
        <w:trPr>
          <w:cantSplit w:val="true"/>
        </w:trPr>
        <w:tc>
          <w:tcPr>
            <w:tcW w:w="45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C"/>
              <w:rPr/>
            </w:pPr>
            <w:r>
              <w:rPr/>
            </w:r>
          </w:p>
        </w:tc>
        <w:tc>
          <w:tcPr>
            <w:tcW w:w="291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>
                <w:b w:val="false"/>
                <w:bCs/>
                <w:color w:val="auto"/>
              </w:rPr>
            </w:pPr>
            <w:r>
              <w:rPr>
                <w:b w:val="false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pStyle w:val="Normal"/>
        <w:ind w:end="-99"/>
        <w:rPr>
          <w:b/>
        </w:rPr>
      </w:pPr>
      <w:r>
        <w:rPr>
          <w:b/>
        </w:rPr>
        <w:t>* Other = e.g. testing</w:t>
      </w:r>
    </w:p>
    <w:p>
      <w:pPr>
        <w:pStyle w:val="Normal"/>
        <w:ind w:end="-99"/>
        <w:rPr>
          <w:b/>
        </w:rPr>
      </w:pPr>
      <w:r>
        <w:rPr>
          <w:b/>
        </w:rPr>
      </w:r>
    </w:p>
    <w:p>
      <w:pPr>
        <w:pStyle w:val="Heading2"/>
        <w:keepLines/>
        <w:overflowPunct w:val="true"/>
        <w:spacing w:before="180" w:after="180"/>
        <w:ind w:hanging="1134" w:start="1134" w:end="0"/>
        <w:textAlignment w:val="baseline"/>
        <w:rPr>
          <w:b w:val="false"/>
          <w:sz w:val="32"/>
          <w:lang w:eastAsia="ja-JP"/>
        </w:rPr>
      </w:pPr>
      <w:r>
        <w:rPr>
          <w:b w:val="false"/>
          <w:sz w:val="32"/>
          <w:lang w:eastAsia="ja-JP"/>
        </w:rPr>
        <w:t>2.2</w:t>
        <w:tab/>
        <w:t>Parent Work Item</w:t>
      </w:r>
    </w:p>
    <w:p>
      <w:pPr>
        <w:pStyle w:val="Normal"/>
        <w:rPr/>
      </w:pPr>
      <w:r>
        <w:rPr/>
        <w:t>For a brand-new topic, use “N/A” in the table below. Otherwise indicate the parent Work Item.</w:t>
      </w:r>
    </w:p>
    <w:tbl>
      <w:tblPr>
        <w:tblW w:w="9314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100"/>
        <w:gridCol w:w="1101"/>
        <w:gridCol w:w="1102"/>
        <w:gridCol w:w="6010"/>
      </w:tblGrid>
      <w:tr>
        <w:trPr>
          <w:cantSplit w:val="true"/>
        </w:trPr>
        <w:tc>
          <w:tcPr>
            <w:tcW w:w="9313" w:type="dxa"/>
            <w:gridSpan w:val="4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Parent Work / Study Items</w:t>
            </w:r>
          </w:p>
        </w:tc>
      </w:tr>
      <w:tr>
        <w:trPr>
          <w:cantSplit w:val="true"/>
        </w:trPr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ind w:end="-99"/>
              <w:jc w:val="start"/>
              <w:rPr/>
            </w:pPr>
            <w:r>
              <w:rPr/>
              <w:t>Title (as in 3GPP Work Plan)</w:t>
            </w:r>
          </w:p>
        </w:tc>
      </w:tr>
      <w:tr>
        <w:trPr>
          <w:cantSplit w:val="true"/>
        </w:trPr>
        <w:tc>
          <w:tcPr>
            <w:tcW w:w="1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  <w:tc>
          <w:tcPr>
            <w:tcW w:w="110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  <w:tc>
          <w:tcPr>
            <w:tcW w:w="601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N/A</w:t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3"/>
        <w:keepLines/>
        <w:overflowPunct w:val="true"/>
        <w:spacing w:before="120" w:after="180"/>
        <w:ind w:hanging="1134" w:start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  <w:tab/>
        <w:t>Other related Work Items and dependencies</w:t>
      </w:r>
    </w:p>
    <w:tbl>
      <w:tblPr>
        <w:tblW w:w="9526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101"/>
        <w:gridCol w:w="3325"/>
        <w:gridCol w:w="5100"/>
      </w:tblGrid>
      <w:tr>
        <w:trPr>
          <w:cantSplit w:val="true"/>
        </w:trPr>
        <w:tc>
          <w:tcPr>
            <w:tcW w:w="9526" w:type="dxa"/>
            <w:gridSpan w:val="3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Other related Work /Study Items (if any)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Nature of relationship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80048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Stage 1 of 5GSAT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overflowPunct w:val="true"/>
              <w:spacing w:before="0" w:after="180"/>
              <w:textAlignment w:val="baseline"/>
              <w:rPr/>
            </w:pPr>
            <w:r>
              <w:rPr/>
              <w:t>Service requirements of satellite access in 5G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960016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Stage 1 of 5GSAT: FS_5GSAT_Ph3</w:t>
            </w:r>
          </w:p>
          <w:p>
            <w:pPr>
              <w:pStyle w:val="TAL"/>
              <w:rPr/>
            </w:pPr>
            <w:r>
              <w:rPr/>
              <w:t>Study on satellite access - Phase 3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overflowPunct w:val="true"/>
              <w:spacing w:before="0" w:after="180"/>
              <w:textAlignment w:val="baseline"/>
              <w:rPr/>
            </w:pPr>
            <w:r>
              <w:rPr/>
              <w:t>Defines new services requirements for R19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1020044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Study on Security Aspects of 5G Satellite Access Phase 3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overflowPunct w:val="true"/>
              <w:spacing w:before="0" w:after="180"/>
              <w:textAlignment w:val="baseline"/>
              <w:rPr/>
            </w:pPr>
            <w:r>
              <w:rPr/>
              <w:t>SA3 Rel-19 SID on Security Aspects of 5G Satellite Access Phase 3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1060065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Security Aspects of 5G Satellite Access Phase 3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overflowPunct w:val="true"/>
              <w:spacing w:before="0" w:after="180"/>
              <w:textAlignment w:val="baseline"/>
              <w:rPr/>
            </w:pPr>
            <w:r>
              <w:rPr>
                <w:lang w:val="en-US"/>
              </w:rPr>
              <w:t xml:space="preserve">SA3 Rel-19 WID on </w:t>
            </w:r>
            <w:r>
              <w:rPr/>
              <w:t>Security Aspects of 5G Satellite Access Phase 3</w:t>
            </w:r>
          </w:p>
        </w:tc>
      </w:tr>
      <w:tr>
        <w:trPr>
          <w:cantSplit w:val="true"/>
        </w:trPr>
        <w:tc>
          <w:tcPr>
            <w:tcW w:w="110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1040027</w:t>
            </w:r>
          </w:p>
        </w:tc>
        <w:tc>
          <w:tcPr>
            <w:tcW w:w="332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TAL"/>
              <w:rPr/>
            </w:pPr>
            <w:r>
              <w:rPr/>
              <w:t>Integration of satellite components in the 5G architecture Phase 3</w:t>
            </w:r>
          </w:p>
        </w:tc>
        <w:tc>
          <w:tcPr>
            <w:tcW w:w="51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Guidance"/>
              <w:overflowPunct w:val="true"/>
              <w:spacing w:before="0" w:after="180"/>
              <w:textAlignment w:val="baseline"/>
              <w:rPr/>
            </w:pPr>
            <w:r>
              <w:rPr/>
              <w:t>SA2 Rel-19 WID on Integration of satellite components in the 5G architecture Phase 3</w:t>
            </w:r>
          </w:p>
        </w:tc>
      </w:tr>
    </w:tbl>
    <w:p>
      <w:pPr>
        <w:pStyle w:val="FP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3</w:t>
        <w:tab/>
        <w:t>Justification</w:t>
      </w:r>
    </w:p>
    <w:p>
      <w:pPr>
        <w:pStyle w:val="Normal"/>
        <w:overflowPunct w:val="true"/>
        <w:spacing w:before="0" w:after="180"/>
        <w:textAlignment w:val="baseline"/>
        <w:rPr>
          <w:rFonts w:eastAsia="DengXian"/>
          <w:color w:val="000000"/>
          <w:lang w:val="en-US" w:eastAsia="zh-CN"/>
        </w:rPr>
      </w:pPr>
      <w:r>
        <w:rPr>
          <w:rFonts w:eastAsia="DengXian"/>
          <w:color w:val="000000"/>
          <w:lang w:val="en-US" w:eastAsia="zh-CN"/>
        </w:rPr>
        <w:t>For the store and forward operation in Split MME architecture, due to the UE context cannot be synchronized between a set of satellites, UE can only contact one satellite in each S&amp;F operation round. As described in S3-250932, during the development of Release 19, the satellite communication industry had already proposed the requirement for UE to be able to contact multiple satellites in each S&amp;F operation round. Therefore, new security mechanisms should be studied to support this feature.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4</w:t>
        <w:tab/>
        <w:t>Objective</w:t>
      </w:r>
    </w:p>
    <w:p>
      <w:pPr>
        <w:pStyle w:val="Normal"/>
        <w:overflowPunct w:val="true"/>
        <w:spacing w:before="0"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The work is comprised of the following parts:</w:t>
      </w:r>
    </w:p>
    <w:p>
      <w:pPr>
        <w:pStyle w:val="Normal"/>
        <w:overflowPunct w:val="true"/>
        <w:spacing w:before="0" w:after="180"/>
        <w:ind w:hanging="284" w:start="568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  <w:tab/>
        <w:t xml:space="preserve">WT: </w:t>
      </w:r>
      <w:r>
        <w:rPr>
          <w:rFonts w:eastAsia="SimSun"/>
          <w:lang w:val="en-US" w:eastAsia="zh-CN"/>
        </w:rPr>
        <w:t>Study the security mechanisms that permit an authenticated UE to exchange NAS messages with multiple satellites without performing UE authentication or key negotiation (NAS SMC) between the UE and satellites.</w:t>
      </w:r>
    </w:p>
    <w:p>
      <w:pPr>
        <w:pStyle w:val="NO"/>
        <w:rPr/>
      </w:pPr>
      <w:r>
        <w:rPr/>
        <w:t>NOTE:</w:t>
        <w:tab/>
      </w:r>
      <w:r>
        <w:rPr>
          <w:lang w:eastAsia="zh-CN"/>
        </w:rPr>
        <w:t>DoS protection is not considered</w:t>
      </w:r>
      <w:r>
        <w:rPr/>
        <w:t>.</w:t>
      </w:r>
    </w:p>
    <w:p>
      <w:pPr>
        <w:pStyle w:val="Normal"/>
        <w:overflowPunct w:val="true"/>
        <w:spacing w:before="0" w:after="18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</w:r>
    </w:p>
    <w:p>
      <w:pPr>
        <w:pStyle w:val="Heading2"/>
        <w:rPr/>
      </w:pPr>
      <w:r>
        <w:rPr/>
        <w:t>TU estimates and dependencies</w:t>
      </w:r>
    </w:p>
    <w:p>
      <w:pPr>
        <w:pStyle w:val="Normal"/>
        <w:rPr/>
      </w:pPr>
      <w:r>
        <w:rPr/>
      </w:r>
    </w:p>
    <w:tbl>
      <w:tblPr>
        <w:tblW w:w="9042" w:type="dxa"/>
        <w:jc w:val="start"/>
        <w:tblInd w:w="-116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596"/>
        <w:gridCol w:w="1571"/>
        <w:gridCol w:w="1479"/>
        <w:gridCol w:w="2105"/>
        <w:gridCol w:w="2291"/>
      </w:tblGrid>
      <w:tr>
        <w:trPr/>
        <w:tc>
          <w:tcPr>
            <w:tcW w:w="15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  <w:t>Work Task ID</w:t>
            </w:r>
          </w:p>
        </w:tc>
        <w:tc>
          <w:tcPr>
            <w:tcW w:w="15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  <w:t>TU Estimate</w:t>
            </w:r>
          </w:p>
          <w:p>
            <w:pPr>
              <w:pStyle w:val="Normal"/>
              <w:rPr/>
            </w:pPr>
            <w:r>
              <w:rPr/>
              <w:t>(Study)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TU Estimate</w:t>
            </w:r>
          </w:p>
          <w:p>
            <w:pPr>
              <w:pStyle w:val="Normal"/>
              <w:rPr/>
            </w:pPr>
            <w:r>
              <w:rPr/>
              <w:t>(Normative)</w:t>
            </w:r>
          </w:p>
        </w:tc>
        <w:tc>
          <w:tcPr>
            <w:tcW w:w="21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RAN/SA2 Dependency</w:t>
            </w:r>
          </w:p>
          <w:p>
            <w:pPr>
              <w:pStyle w:val="Normal"/>
              <w:rPr/>
            </w:pPr>
            <w:r>
              <w:rPr/>
              <w:t>(Yes/No/Maybe)</w:t>
            </w:r>
          </w:p>
        </w:tc>
        <w:tc>
          <w:tcPr>
            <w:tcW w:w="22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Inter Work Tasks Dependency</w:t>
            </w:r>
          </w:p>
        </w:tc>
      </w:tr>
      <w:tr>
        <w:trPr/>
        <w:tc>
          <w:tcPr>
            <w:tcW w:w="15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</w:t>
            </w:r>
          </w:p>
        </w:tc>
        <w:tc>
          <w:tcPr>
            <w:tcW w:w="15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</w:t>
            </w:r>
          </w:p>
        </w:tc>
        <w:tc>
          <w:tcPr>
            <w:tcW w:w="14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21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Maybe</w:t>
            </w:r>
          </w:p>
        </w:tc>
        <w:tc>
          <w:tcPr>
            <w:tcW w:w="229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lang w:eastAsia="zh-CN"/>
        </w:rPr>
      </w:pPr>
      <w:r>
        <w:rPr/>
        <w:t xml:space="preserve">Total TU estimates for the study phase: </w:t>
      </w:r>
      <w:r>
        <w:rPr>
          <w:lang w:eastAsia="zh-CN"/>
        </w:rPr>
        <w:t>2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lang w:val="en-US" w:eastAsia="zh-CN"/>
        </w:rPr>
        <w:t>1</w:t>
      </w:r>
    </w:p>
    <w:p>
      <w:pPr>
        <w:pStyle w:val="Normal"/>
        <w:rPr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lang w:val="en-US" w:eastAsia="zh-CN"/>
        </w:rPr>
        <w:t>3</w:t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5</w:t>
        <w:tab/>
        <w:t>Expected Output and Time scale</w:t>
      </w:r>
    </w:p>
    <w:p>
      <w:pPr>
        <w:pStyle w:val="Normal"/>
        <w:rPr>
          <w:b/>
          <w:bCs/>
          <w:i/>
          <w:i/>
          <w:iCs/>
        </w:rPr>
      </w:pPr>
      <w:r>
        <w:rPr/>
      </w:r>
    </w:p>
    <w:tbl>
      <w:tblPr>
        <w:tblW w:w="9413" w:type="dxa"/>
        <w:jc w:val="center"/>
        <w:tblInd w:w="0" w:type="dxa"/>
        <w:tblLayout w:type="fixed"/>
        <w:tblCellMar>
          <w:top w:w="0" w:type="dxa"/>
          <w:start w:w="57" w:type="dxa"/>
          <w:bottom w:w="0" w:type="dxa"/>
          <w:end w:w="57" w:type="dxa"/>
        </w:tblCellMar>
        <w:tblLook w:val="04a0" w:noHBand="0" w:noVBand="1" w:firstColumn="1" w:lastRow="0" w:lastColumn="0" w:firstRow="1"/>
      </w:tblPr>
      <w:tblGrid>
        <w:gridCol w:w="1617"/>
        <w:gridCol w:w="1134"/>
        <w:gridCol w:w="2409"/>
        <w:gridCol w:w="1107"/>
        <w:gridCol w:w="1134"/>
        <w:gridCol w:w="2011"/>
      </w:tblGrid>
      <w:tr>
        <w:trPr>
          <w:cantSplit w:val="true"/>
        </w:trPr>
        <w:tc>
          <w:tcPr>
            <w:tcW w:w="9412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New specifications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Type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Title</w:t>
            </w:r>
          </w:p>
        </w:tc>
        <w:tc>
          <w:tcPr>
            <w:tcW w:w="11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 xml:space="preserve">For info </w:t>
              <w:br/>
              <w:t>at TSG#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For approval at TSG#</w:t>
            </w:r>
          </w:p>
        </w:tc>
        <w:tc>
          <w:tcPr>
            <w:tcW w:w="20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D9D9D9" w:val="clear"/>
          </w:tcPr>
          <w:p>
            <w:pPr>
              <w:pStyle w:val="TAH"/>
              <w:rPr/>
            </w:pPr>
            <w:r>
              <w:rPr/>
              <w:t>Rapporteur</w:t>
            </w:r>
          </w:p>
        </w:tc>
      </w:tr>
      <w:tr>
        <w:trPr>
          <w:cantSplit w:val="true"/>
        </w:trPr>
        <w:tc>
          <w:tcPr>
            <w:tcW w:w="16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>
                <w:i w:val="false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>
                <w:i w:val="false"/>
              </w:rPr>
              <w:t>33.700-30</w:t>
            </w:r>
          </w:p>
        </w:tc>
        <w:tc>
          <w:tcPr>
            <w:tcW w:w="2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>
                <w:lang w:eastAsia="zh-CN"/>
              </w:rPr>
            </w:pPr>
            <w:r>
              <w:rPr>
                <w:i w:val="false"/>
              </w:rPr>
              <w:t>Study on Security Aspects of Satellite Access in 5G Phase 4</w:t>
            </w:r>
          </w:p>
        </w:tc>
        <w:tc>
          <w:tcPr>
            <w:tcW w:w="11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  <w:t>TSG SA#1</w:t>
            </w:r>
            <w:r>
              <w:rPr>
                <w:lang w:eastAsia="zh-CN"/>
              </w:rPr>
              <w:t>11</w:t>
            </w:r>
            <w:r>
              <w:rPr/>
              <w:t xml:space="preserve"> (</w:t>
            </w:r>
            <w:r>
              <w:rPr>
                <w:lang w:eastAsia="zh-CN"/>
              </w:rPr>
              <w:t>Mar</w:t>
            </w:r>
            <w:r>
              <w:rPr/>
              <w:t>., 202</w:t>
            </w:r>
            <w:r>
              <w:rPr>
                <w:lang w:eastAsia="zh-CN"/>
              </w:rPr>
              <w:t>6</w:t>
            </w:r>
            <w:r>
              <w:rPr/>
              <w:t>)</w:t>
            </w:r>
          </w:p>
        </w:tc>
        <w:tc>
          <w:tcPr>
            <w:tcW w:w="11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Guidance"/>
              <w:spacing w:before="0" w:after="0"/>
              <w:rPr/>
            </w:pPr>
            <w:r>
              <w:rPr/>
              <w:t>TSG SA#1</w:t>
            </w:r>
            <w:r>
              <w:rPr>
                <w:lang w:eastAsia="zh-CN"/>
              </w:rPr>
              <w:t>12</w:t>
            </w:r>
            <w:r>
              <w:rPr/>
              <w:t xml:space="preserve"> (</w:t>
            </w:r>
            <w:r>
              <w:rPr>
                <w:lang w:eastAsia="zh-CN"/>
              </w:rPr>
              <w:t>Jun</w:t>
            </w:r>
            <w:r>
              <w:rPr/>
              <w:t>., 202</w:t>
            </w:r>
            <w:r>
              <w:rPr>
                <w:lang w:eastAsia="zh-CN"/>
              </w:rPr>
              <w:t>6</w:t>
            </w:r>
            <w:r>
              <w:rPr/>
              <w:t>)</w:t>
            </w:r>
          </w:p>
        </w:tc>
        <w:tc>
          <w:tcPr>
            <w:tcW w:w="201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tcMar>
              <w:start w:w="108" w:type="dxa"/>
              <w:end w:w="108" w:type="dxa"/>
            </w:tcMar>
          </w:tcPr>
          <w:p>
            <w:pPr>
              <w:pStyle w:val="Normal"/>
              <w:rPr>
                <w:lang w:eastAsia="zh-CN"/>
              </w:rPr>
            </w:pPr>
            <w:r>
              <w:rPr>
                <w:sz w:val="20"/>
                <w:lang w:eastAsia="zh-CN"/>
              </w:rPr>
              <w:t>Zhou Wei (CATT, zhouwei@catt.cn)</w:t>
            </w:r>
          </w:p>
        </w:tc>
      </w:tr>
    </w:tbl>
    <w:p>
      <w:pPr>
        <w:pStyle w:val="FP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307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00" w:noHBand="0" w:noVBand="0" w:firstColumn="0" w:lastRow="0" w:lastColumn="0" w:firstRow="0"/>
      </w:tblPr>
      <w:tblGrid>
        <w:gridCol w:w="1445"/>
        <w:gridCol w:w="4343"/>
        <w:gridCol w:w="1418"/>
        <w:gridCol w:w="2100"/>
      </w:tblGrid>
      <w:tr>
        <w:trPr>
          <w:cantSplit w:val="true"/>
        </w:trPr>
        <w:tc>
          <w:tcPr>
            <w:tcW w:w="9306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 xml:space="preserve">Impacted existing TS/TR </w:t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Description of change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Remarks</w:t>
            </w:r>
          </w:p>
        </w:tc>
      </w:tr>
      <w:tr>
        <w:trPr>
          <w:cantSplit w:val="true"/>
        </w:trPr>
        <w:tc>
          <w:tcPr>
            <w:tcW w:w="14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43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Guidance"/>
              <w:spacing w:before="0" w:after="0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6</w:t>
        <w:tab/>
        <w:t>Work item Rapporteur(s)</w:t>
      </w:r>
    </w:p>
    <w:p>
      <w:pPr>
        <w:pStyle w:val="Normal"/>
        <w:rPr>
          <w:lang w:eastAsia="zh-CN"/>
        </w:rPr>
      </w:pPr>
      <w:r>
        <w:rPr>
          <w:sz w:val="20"/>
          <w:lang w:eastAsia="zh-CN"/>
        </w:rPr>
        <w:t>Primary: Hongil Kim (Qualcomm, hongilk</w:t>
      </w:r>
      <w:r>
        <w:rPr>
          <w:sz w:val="20"/>
          <w:lang w:eastAsia="zh-CN"/>
        </w:rPr>
        <w:t>@qti.qualcomm.com</w:t>
      </w:r>
      <w:r>
        <w:rPr>
          <w:sz w:val="20"/>
          <w:lang w:eastAsia="zh-CN"/>
        </w:rPr>
        <w:t>)</w:t>
        <w:br/>
        <w:t>Secondary: Wei Zhou (CATT, zhouwei</w:t>
      </w:r>
      <w:r>
        <w:rPr>
          <w:sz w:val="20"/>
          <w:lang w:eastAsia="zh-CN"/>
        </w:rPr>
        <w:t>@catt.cn</w:t>
      </w:r>
      <w:r>
        <w:rPr>
          <w:sz w:val="20"/>
          <w:lang w:eastAsia="zh-CN"/>
        </w:rPr>
        <w:t>)</w:t>
      </w:r>
    </w:p>
    <w:p>
      <w:pPr>
        <w:pStyle w:val="Normal"/>
        <w:rPr>
          <w:lang w:eastAsia="zh-CN"/>
        </w:rPr>
      </w:pPr>
      <w:r>
        <w:rPr>
          <w:lang w:eastAsia="zh-CN"/>
        </w:rPr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7</w:t>
        <w:tab/>
        <w:t>Work item leadership</w:t>
      </w:r>
    </w:p>
    <w:p>
      <w:pPr>
        <w:pStyle w:val="Normal"/>
        <w:rPr/>
      </w:pPr>
      <w:r>
        <w:rPr/>
        <w:t>SA3</w:t>
      </w:r>
    </w:p>
    <w:p>
      <w:pPr>
        <w:pStyle w:val="Normal"/>
        <w:rPr>
          <w:lang w:eastAsia="zh-CN"/>
        </w:rPr>
      </w:pPr>
      <w:r>
        <w:rPr>
          <w:lang w:eastAsia="zh-CN"/>
        </w:rPr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8</w:t>
        <w:tab/>
        <w:t>Aspects that involve other WGs</w:t>
      </w:r>
    </w:p>
    <w:p>
      <w:pPr>
        <w:pStyle w:val="Normal"/>
        <w:rPr/>
      </w:pPr>
      <w:r>
        <w:rPr/>
        <w:t xml:space="preserve">Potential interactions with SA2 </w:t>
      </w:r>
      <w:r>
        <w:rPr>
          <w:lang w:eastAsia="zh-CN"/>
        </w:rPr>
        <w:t xml:space="preserve">WG and RAN WGs </w:t>
      </w:r>
      <w:r>
        <w:rPr/>
        <w:t xml:space="preserve">during </w:t>
      </w:r>
      <w:r>
        <w:rPr>
          <w:lang w:eastAsia="zh-CN"/>
        </w:rPr>
        <w:t xml:space="preserve">the </w:t>
      </w:r>
      <w:r>
        <w:rPr/>
        <w:t>work.</w:t>
      </w:r>
    </w:p>
    <w:p>
      <w:pPr>
        <w:pStyle w:val="Normal"/>
        <w:rPr>
          <w:lang w:eastAsia="zh-CN"/>
        </w:rPr>
      </w:pPr>
      <w:r>
        <w:rPr>
          <w:lang w:eastAsia="zh-CN"/>
        </w:rPr>
      </w:r>
    </w:p>
    <w:p>
      <w:pPr>
        <w:pStyle w:val="Heading1"/>
        <w:keepLines/>
        <w:pBdr>
          <w:top w:val="single" w:sz="12" w:space="3" w:color="000000"/>
        </w:pBdr>
        <w:overflowPunct w:val="true"/>
        <w:spacing w:before="240" w:after="180"/>
        <w:ind w:hanging="1134" w:start="1134" w:end="0"/>
        <w:textAlignment w:val="baseline"/>
        <w:rPr>
          <w:b w:val="false"/>
          <w:sz w:val="36"/>
          <w:lang w:eastAsia="ja-JP"/>
        </w:rPr>
      </w:pPr>
      <w:r>
        <w:rPr>
          <w:b w:val="false"/>
          <w:sz w:val="36"/>
          <w:lang w:eastAsia="ja-JP"/>
        </w:rPr>
        <w:t>9</w:t>
        <w:tab/>
        <w:t>Supporting Individual Members</w:t>
      </w:r>
    </w:p>
    <w:tbl>
      <w:tblPr>
        <w:tblW w:w="5029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1e0" w:noHBand="0" w:noVBand="0" w:firstColumn="1" w:lastRow="1" w:lastColumn="1" w:firstRow="1"/>
      </w:tblPr>
      <w:tblGrid>
        <w:gridCol w:w="5029"/>
      </w:tblGrid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0E0E0" w:val="clear"/>
          </w:tcPr>
          <w:p>
            <w:pPr>
              <w:pStyle w:val="TAH"/>
              <w:rPr/>
            </w:pPr>
            <w:r>
              <w:rPr/>
              <w:t>Supporting IM name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>
                <w:lang w:eastAsia="zh-CN"/>
              </w:rPr>
              <w:t>CATT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/>
              <w:t>CAICT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/>
              <w:t>China Mobile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/>
              <w:t>China Unicom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>
                <w:lang w:eastAsia="zh-CN"/>
              </w:rPr>
              <w:t>China Telecommunications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/>
              <w:t>ZTE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/>
              <w:t>O</w:t>
            </w:r>
            <w:r>
              <w:rPr>
                <w:lang w:eastAsia="zh-CN"/>
              </w:rPr>
              <w:t>PPO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/>
              <w:t>Sateliot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/>
              <w:t>Novamint</w:t>
            </w:r>
          </w:p>
        </w:tc>
      </w:tr>
      <w:tr>
        <w:trPr>
          <w:cantSplit w:val="true"/>
        </w:trPr>
        <w:tc>
          <w:tcPr>
            <w:tcW w:w="50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TAL"/>
              <w:rPr/>
            </w:pPr>
            <w:r>
              <w:rPr/>
              <w:t>Qualcomm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gutter="0" w:header="0" w:top="567" w:footer="0" w:bottom="709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alibri Light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Cambria Math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embedSystemFonts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GB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等线" w:cs="Times New Roman" w:eastAsiaTheme="minorEastAsia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f4322"/>
    <w:pPr>
      <w:widowControl/>
      <w:bidi w:val="0"/>
      <w:spacing w:before="0" w:after="0"/>
      <w:jc w:val="start"/>
    </w:pPr>
    <w:rPr>
      <w:rFonts w:ascii="Times New Roman" w:hAnsi="Times New Roman" w:eastAsia="等线" w:cs="Times New Roman" w:eastAsiaTheme="minorEastAsia"/>
      <w:color w:val="auto"/>
      <w:kern w:val="0"/>
      <w:sz w:val="20"/>
      <w:szCs w:val="20"/>
      <w:lang w:eastAsia="en-US" w:val="en-GB" w:bidi="ar-SA"/>
    </w:rPr>
  </w:style>
  <w:style w:type="paragraph" w:styleId="Heading1">
    <w:name w:val="heading 1"/>
    <w:basedOn w:val="Normal"/>
    <w:next w:val="Normal"/>
    <w:qFormat/>
    <w:pPr>
      <w:keepNext w:val="true"/>
      <w:spacing w:before="0" w:after="240"/>
      <w:ind w:hanging="1985" w:start="1985" w:end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 w:val="true"/>
      <w:ind w:end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 w:val="true"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 w:val="true"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 w:val="true"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 w:val="true"/>
      <w:keepLines/>
      <w:spacing w:before="40" w:after="0"/>
      <w:outlineLvl w:val="7"/>
    </w:pPr>
    <w:rPr>
      <w:rFonts w:ascii="Calibri Light" w:hAnsi="Calibri Light" w:eastAsia="等线 Light" w:cs="" w:asciiTheme="majorHAnsi" w:cstheme="majorBidi" w:eastAsiaTheme="majorEastAsia" w:hAnsiTheme="majorHAnsi"/>
      <w:color w:themeColor="text1" w:themeTint="d8" w:val="272727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Pr/>
  </w:style>
  <w:style w:type="character" w:styleId="Heading8Char" w:customStyle="1">
    <w:name w:val="Heading 8 Char"/>
    <w:basedOn w:val="DefaultParagraphFont"/>
    <w:link w:val="Heading8"/>
    <w:semiHidden/>
    <w:qFormat/>
    <w:rsid w:val="001e489f"/>
    <w:rPr>
      <w:rFonts w:ascii="Calibri Light" w:hAnsi="Calibri Light" w:eastAsia="等线 Light" w:cs="" w:asciiTheme="majorHAnsi" w:cstheme="majorBidi" w:eastAsiaTheme="majorEastAsia" w:hAnsiTheme="majorHAnsi"/>
      <w:color w:themeColor="text1" w:themeTint="d8" w:val="272727"/>
      <w:sz w:val="21"/>
      <w:szCs w:val="21"/>
      <w:lang w:eastAsia="en-US"/>
    </w:rPr>
  </w:style>
  <w:style w:type="character" w:styleId="HeaderChar" w:customStyle="1">
    <w:name w:val="Header Char"/>
    <w:link w:val="Header"/>
    <w:qFormat/>
    <w:rsid w:val="005c123d"/>
    <w:rPr>
      <w:lang w:eastAsia="en-US"/>
    </w:rPr>
  </w:style>
  <w:style w:type="character" w:styleId="TALChar" w:customStyle="1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character" w:styleId="NOZchn" w:customStyle="1">
    <w:name w:val="NO Zchn"/>
    <w:link w:val="NO"/>
    <w:qFormat/>
    <w:rsid w:val="00cd0975"/>
    <w:rPr>
      <w:rFonts w:eastAsia="Times New Roman"/>
    </w:rPr>
  </w:style>
  <w:style w:type="character" w:styleId="NOChar" w:customStyle="1">
    <w:name w:val="NO Char"/>
    <w:qFormat/>
    <w:rsid w:val="002e40d1"/>
    <w:rPr>
      <w:color w:val="000000"/>
      <w:lang w:eastAsia="ja-JP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CommentText">
    <w:name w:val="annotation text"/>
    <w:basedOn w:val="Normal"/>
    <w:semiHidden/>
    <w:pPr>
      <w:tabs>
        <w:tab w:val="clear" w:pos="720"/>
        <w:tab w:val="left" w:pos="1418" w:leader="none"/>
        <w:tab w:val="left" w:pos="4678" w:leader="none"/>
        <w:tab w:val="left" w:pos="5954" w:leader="none"/>
        <w:tab w:val="left" w:pos="7088" w:leader="none"/>
      </w:tabs>
      <w:spacing w:before="0" w:after="240"/>
      <w:jc w:val="both"/>
    </w:pPr>
    <w:rPr>
      <w:rFonts w:ascii="Arial" w:hAnsi="Arial"/>
    </w:rPr>
  </w:style>
  <w:style w:type="paragraph" w:styleId="B1" w:customStyle="1">
    <w:name w:val="B1"/>
    <w:basedOn w:val="Normal"/>
    <w:qFormat/>
    <w:pPr>
      <w:ind w:hanging="567" w:start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qFormat/>
    <w:pPr>
      <w:spacing w:before="0" w:after="220"/>
    </w:pPr>
    <w:rPr>
      <w:rFonts w:ascii="Arial" w:hAnsi="Arial"/>
      <w:sz w:val="22"/>
      <w:lang w:val="en-US"/>
    </w:rPr>
  </w:style>
  <w:style w:type="paragraph" w:styleId="Style8" w:customStyle="1">
    <w:name w:val="??"/>
    <w:qFormat/>
    <w:pPr>
      <w:widowControl w:val="false"/>
      <w:bidi w:val="0"/>
      <w:spacing w:before="0" w:after="0"/>
      <w:jc w:val="start"/>
    </w:pPr>
    <w:rPr>
      <w:rFonts w:ascii="Times New Roman" w:hAnsi="Times New Roman" w:eastAsia="等线" w:cs="Times New Roman" w:eastAsiaTheme="minorEastAsia"/>
      <w:color w:val="auto"/>
      <w:kern w:val="0"/>
      <w:sz w:val="20"/>
      <w:szCs w:val="20"/>
      <w:lang w:val="en-US" w:eastAsia="en-US" w:bidi="ar-SA"/>
    </w:rPr>
  </w:style>
  <w:style w:type="paragraph" w:styleId="2" w:customStyle="1">
    <w:name w:val="??? 2"/>
    <w:basedOn w:val="Style8"/>
    <w:next w:val="Style8"/>
    <w:qFormat/>
    <w:pPr>
      <w:keepNext w:val="true"/>
    </w:pPr>
    <w:rPr>
      <w:rFonts w:ascii="Arial" w:hAnsi="Arial"/>
      <w:b/>
      <w:sz w:val="24"/>
    </w:rPr>
  </w:style>
  <w:style w:type="paragraph" w:styleId="CRCoverPage" w:customStyle="1">
    <w:name w:val="CR Cover Page"/>
    <w:qFormat/>
    <w:pPr>
      <w:widowControl/>
      <w:bidi w:val="0"/>
      <w:spacing w:before="0" w:after="120"/>
      <w:jc w:val="start"/>
    </w:pPr>
    <w:rPr>
      <w:rFonts w:ascii="Arial" w:hAnsi="Arial" w:eastAsia="等线" w:cs="Times New Roman" w:eastAsiaTheme="minorEastAsia"/>
      <w:color w:val="auto"/>
      <w:kern w:val="0"/>
      <w:sz w:val="20"/>
      <w:szCs w:val="20"/>
      <w:lang w:eastAsia="en-US" w:val="en-GB" w:bidi="ar-SA"/>
    </w:rPr>
  </w:style>
  <w:style w:type="paragraph" w:styleId="Index1">
    <w:name w:val="index 1"/>
    <w:basedOn w:val="Normal"/>
    <w:semiHidden/>
    <w:rsid w:val="00313f3e"/>
    <w:pPr>
      <w:keepLines/>
    </w:pPr>
    <w:rPr/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styleId="Guidance" w:customStyle="1">
    <w:name w:val="Guidance"/>
    <w:basedOn w:val="Normal"/>
    <w:qFormat/>
    <w:rsid w:val="003057fd"/>
    <w:pPr>
      <w:overflowPunct w:val="true"/>
      <w:spacing w:before="0" w:after="180"/>
      <w:textAlignment w:val="baseline"/>
    </w:pPr>
    <w:rPr>
      <w:i/>
      <w:color w:val="000000"/>
      <w:lang w:eastAsia="ja-JP"/>
    </w:rPr>
  </w:style>
  <w:style w:type="paragraph" w:styleId="TAL" w:customStyle="1">
    <w:name w:val="TAL"/>
    <w:basedOn w:val="Normal"/>
    <w:link w:val="TALChar"/>
    <w:qFormat/>
    <w:rsid w:val="001e489f"/>
    <w:pPr>
      <w:keepNext w:val="true"/>
      <w:keepLines/>
      <w:overflowPunct w:val="true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TAH" w:customStyle="1">
    <w:name w:val="TAH"/>
    <w:basedOn w:val="TAC"/>
    <w:qFormat/>
    <w:rsid w:val="001e489f"/>
    <w:pPr/>
    <w:rPr>
      <w:b/>
    </w:rPr>
  </w:style>
  <w:style w:type="paragraph" w:styleId="TAC" w:customStyle="1">
    <w:name w:val="TAC"/>
    <w:basedOn w:val="TAL"/>
    <w:qFormat/>
    <w:rsid w:val="001e489f"/>
    <w:pPr>
      <w:jc w:val="center"/>
    </w:pPr>
    <w:rPr/>
  </w:style>
  <w:style w:type="paragraph" w:styleId="FP" w:customStyle="1">
    <w:name w:val="FP"/>
    <w:basedOn w:val="Normal"/>
    <w:qFormat/>
    <w:rsid w:val="001e489f"/>
    <w:pPr>
      <w:overflowPunct w:val="true"/>
      <w:textAlignment w:val="baseline"/>
    </w:pPr>
    <w:rPr>
      <w:color w:val="000000"/>
      <w:lang w:eastAsia="ja-JP"/>
    </w:rPr>
  </w:style>
  <w:style w:type="paragraph" w:styleId="Revision">
    <w:name w:val="Revision"/>
    <w:uiPriority w:val="99"/>
    <w:semiHidden/>
    <w:qFormat/>
    <w:rsid w:val="001e489f"/>
    <w:pPr>
      <w:widowControl/>
      <w:bidi w:val="0"/>
      <w:spacing w:before="0" w:after="0"/>
      <w:jc w:val="start"/>
    </w:pPr>
    <w:rPr>
      <w:rFonts w:ascii="Times New Roman" w:hAnsi="Times New Roman" w:eastAsia="等线" w:cs="Times New Roman" w:eastAsiaTheme="minorEastAsia"/>
      <w:color w:val="auto"/>
      <w:kern w:val="0"/>
      <w:sz w:val="20"/>
      <w:szCs w:val="20"/>
      <w:lang w:eastAsia="en-US" w:val="en-GB" w:bidi="ar-SA"/>
    </w:rPr>
  </w:style>
  <w:style w:type="paragraph" w:styleId="TT" w:customStyle="1">
    <w:name w:val="TT"/>
    <w:basedOn w:val="Heading1"/>
    <w:next w:val="Normal"/>
    <w:qFormat/>
    <w:rsid w:val="007861b8"/>
    <w:pPr>
      <w:keepLines/>
      <w:pBdr>
        <w:top w:val="single" w:sz="12" w:space="3" w:color="000000"/>
      </w:pBdr>
      <w:overflowPunct w:val="true"/>
      <w:spacing w:before="240" w:after="180"/>
      <w:ind w:hanging="1134" w:start="1134" w:end="0"/>
      <w:textAlignment w:val="baseline"/>
      <w:outlineLvl w:val="9"/>
    </w:pPr>
    <w:rPr>
      <w:b w:val="false"/>
      <w:sz w:val="36"/>
      <w:lang w:eastAsia="ja-JP"/>
    </w:rPr>
  </w:style>
  <w:style w:type="paragraph" w:styleId="TOC9">
    <w:name w:val="toc 9"/>
    <w:basedOn w:val="TOC8"/>
    <w:rsid w:val="007861b8"/>
    <w:pPr>
      <w:keepNext w:val="true"/>
      <w:keepLines/>
      <w:widowControl w:val="false"/>
      <w:tabs>
        <w:tab w:val="clear" w:pos="720"/>
        <w:tab w:val="right" w:pos="9639" w:leader="dot"/>
      </w:tabs>
      <w:overflowPunct w:val="true"/>
      <w:spacing w:before="180" w:after="0"/>
      <w:ind w:hanging="1418" w:start="1418" w:end="425"/>
      <w:textAlignment w:val="baseline"/>
    </w:pPr>
    <w:rPr>
      <w:b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before="0" w:after="100"/>
      <w:ind w:start="1400"/>
    </w:pPr>
    <w:rPr/>
  </w:style>
  <w:style w:type="paragraph" w:styleId="NO" w:customStyle="1">
    <w:name w:val="NO"/>
    <w:basedOn w:val="Normal"/>
    <w:link w:val="NOZchn"/>
    <w:qFormat/>
    <w:rsid w:val="00cd0975"/>
    <w:pPr>
      <w:keepLines/>
      <w:overflowPunct w:val="true"/>
      <w:spacing w:before="0" w:after="180"/>
      <w:ind w:hanging="851" w:start="1135"/>
      <w:textAlignment w:val="baseline"/>
    </w:pPr>
    <w:rPr>
      <w:rFonts w:eastAsia="Times New Roman"/>
      <w:lang w:eastAsia="en-GB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3gpp.org/Work-Items" TargetMode="External"/><Relationship Id="rId3" Type="http://schemas.openxmlformats.org/officeDocument/2006/relationships/hyperlink" Target="http://www.3gpp.org/specifications-groups/working-procedures" TargetMode="External"/><Relationship Id="rId4" Type="http://schemas.openxmlformats.org/officeDocument/2006/relationships/hyperlink" Target="http://www.3gpp.org/ftp/Specs/html-info/21900.htm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8406D-C4CA-425D-B4B2-6D15BCCF8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Application>LibreOffice/25.2.5.2$Linux_X86_64 LibreOffice_project/520$Build-2</Application>
  <AppVersion>15.0000</AppVersion>
  <Pages>3</Pages>
  <Words>631</Words>
  <Characters>3316</Characters>
  <CharactersWithSpaces>3824</CharactersWithSpaces>
  <Paragraphs>135</Paragraphs>
  <Company>ETSI Sophia Antipolis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2025-09-08T13:08:00Z</dcterms:created>
  <dc:creator>Alain Sultan</dc:creator>
  <dc:description/>
  <dc:language>de-DE</dc:language>
  <cp:lastModifiedBy/>
  <cp:lastPrinted>2001-04-23T09:30:00Z</cp:lastPrinted>
  <dcterms:modified xsi:type="dcterms:W3CDTF">2025-09-18T15:33:56Z</dcterms:modified>
  <cp:revision>4</cp:revision>
  <dc:subject/>
  <dc:title>Source: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